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d2854b2bcfc88dace956fcc371026a697e707"/>
    <w:p>
      <w:pPr>
        <w:pStyle w:val="Heading3"/>
      </w:pPr>
      <w:r>
        <w:t xml:space="preserve">Учащиеся школы 962 приняли участие в патронатной акции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t xml:space="preserve">Учащиеся школы № 962, представители Детского общественного объединения «Доброе сердце», приняли участие в Общегородской мемориально-патронатной акции по благоустройству мемориальных досок и памятных знаков, посвященной Дню защитников Отечества и возложили цветы к захоронению Дважды Героя Советского Союза, летчика-космонавта Рукавишникова Н.Н.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http://otradnoe.mos.ru/presscenter/true/detail/8707148.html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707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707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2025-06-27T22:36:49Z</dcterms:created>
  <dcterms:modified xsi:type="dcterms:W3CDTF">2025-06-27T22:36:49Z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