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1cccce2c780b158a5583ae33575e05222a8cd"/>
    <w:p>
      <w:pPr>
        <w:pStyle w:val="Heading3"/>
      </w:pPr>
      <w:r>
        <w:t xml:space="preserve">Учащиеся школы № 962 провели патронатную акцию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t xml:space="preserve">Учащиеся детского общественного объединения «Доброе сердце» ГБОУ Школы № 962 (Алтуфьевское шоссе. д.12 к.1) в рамках мемориально-патронатной акции посетили захоронение дважды Героя СССР, летчика-космонавта Рукавишникова Н.Н.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http://otradnoe.mos.ru/presscenter/true/detail/8519069.html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19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19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2023-08-23T01:33:38Z</dcterms:created>
  <dcterms:modified xsi:type="dcterms:W3CDTF">2023-08-23T01:33:38Z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