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de7c36394fad088c9fb62c86e54dcc4f81de6"/>
    <w:p>
      <w:pPr>
        <w:pStyle w:val="Heading3"/>
      </w:pPr>
      <w:r>
        <w:t xml:space="preserve">Общегородская мемориально-патронатная акция, посвященная Дню города</w:t>
      </w:r>
    </w:p>
    <w:p>
      <w:pPr>
        <w:pStyle w:val="FirstParagraph"/>
      </w:pPr>
      <w:r>
        <w:t xml:space="preserve">02.09.2019</w:t>
      </w:r>
    </w:p>
    <w:p>
      <w:pPr>
        <w:pStyle w:val="BodyText"/>
      </w:pPr>
      <w:r>
        <w:t xml:space="preserve">Долг каждого человека помнить подвиг русского народа в Победе в Великой Отечественной войне. В военные годы люди считали честью защищать свою Родину. Зачастую они жертвовали своими жизнями, чтобы мы с вами жили в смирное время. В память о них дети ГБУ «Ресурсный центр «Отрадное» участвовали в общегородской мемориально-патронатной акции по благоустройству Военного мемориала. Подрастающее поколение должно знать своих героев. Вечная память.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http://otradnoe.mos.ru/presscenter/true/detail/8320439.html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320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320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2023-12-09T22:22:58Z</dcterms:created>
  <dcterms:modified xsi:type="dcterms:W3CDTF">2023-12-09T22:22:58Z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