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информация-социального-фонда-россии"/>
    <w:p>
      <w:pPr>
        <w:pStyle w:val="Heading3"/>
      </w:pPr>
      <w:r>
        <w:t xml:space="preserve">Информация Социального фонда России</w:t>
      </w:r>
    </w:p>
    <w:p>
      <w:pPr>
        <w:pStyle w:val="FirstParagraph"/>
      </w:pPr>
      <w:r>
        <w:t xml:space="preserve">02.10.2024</w:t>
      </w:r>
    </w:p>
    <w:p>
      <w:pPr>
        <w:pStyle w:val="BodyText"/>
      </w:pPr>
      <w:r>
        <w:rPr>
          <w:bCs/>
          <w:b/>
        </w:rPr>
        <w:t xml:space="preserve">В каких случаях период учебы засчитывается в страховой стаж?</w:t>
      </w:r>
    </w:p>
    <w:p>
      <w:pPr>
        <w:pStyle w:val="BodyText"/>
      </w:pPr>
      <w:r>
        <w:br/>
      </w:r>
      <w:r>
        <w:t xml:space="preserve">Студенчество – самая яркая и интересная жизненная пора.</w:t>
      </w:r>
      <w:r>
        <w:br/>
      </w:r>
      <w:r>
        <w:br/>
      </w:r>
      <w:r>
        <w:t xml:space="preserve">Отделение СФР по Москве и Московской области информирует:</w:t>
      </w:r>
      <w:r>
        <w:br/>
      </w:r>
      <w:r>
        <w:br/>
      </w:r>
      <w:r>
        <w:t xml:space="preserve">Обучение в вузах и ссузах не включается в страховой стаж и не отображается в выписке из индивидуального лицевого счета (ИЛС).</w:t>
      </w:r>
      <w:r>
        <w:br/>
      </w:r>
      <w:r>
        <w:br/>
      </w:r>
      <w:r>
        <w:t xml:space="preserve">Но если учеба проходила до 2002 года, когда действовало старое законодательство, она может учитываться при определении права на пенсию, исключая досрочную. Период обучения включают в расчет пенсии, если это приводит к увеличению ее размера.</w:t>
      </w:r>
      <w:r>
        <w:br/>
      </w:r>
      <w:r>
        <w:br/>
      </w:r>
      <w:r>
        <w:t xml:space="preserve">Профессиональное обучение и повышение квалификации</w:t>
      </w:r>
      <w:r>
        <w:br/>
      </w:r>
      <w:r>
        <w:br/>
      </w:r>
      <w:r>
        <w:t xml:space="preserve">Периоды профессиональной подготовки засчитываются в специальный стаж, дающий право на досрочную пенсию, если:</w:t>
      </w:r>
      <w:r>
        <w:br/>
      </w:r>
      <w:r>
        <w:t xml:space="preserve">- учеба организована работодателем;</w:t>
      </w:r>
    </w:p>
    <w:p>
      <w:pPr>
        <w:pStyle w:val="BodyText"/>
      </w:pPr>
      <w:r>
        <w:t xml:space="preserve">- в период обучения за сотрудником сохранялось рабочее место;</w:t>
      </w:r>
    </w:p>
    <w:p>
      <w:pPr>
        <w:pStyle w:val="BodyText"/>
      </w:pPr>
      <w:r>
        <w:t xml:space="preserve">- во время учебы работодатель платил за работника страховые взносы.</w:t>
      </w:r>
      <w:r>
        <w:br/>
      </w:r>
      <w:r>
        <w:t xml:space="preserve">Обратите внимание, время получения среднего или высшего профессионального образования в специальный стаж не входит.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Когда поступит выплата после продления единого пособия?</w:t>
      </w:r>
    </w:p>
    <w:p>
      <w:pPr>
        <w:pStyle w:val="BodyText"/>
      </w:pPr>
      <w:r>
        <w:br/>
      </w:r>
      <w:r>
        <w:t xml:space="preserve">Единое пособие на детей назначается на 12 месяцев. График перечисления выплат после продления зависит от даты подачи заявления:</w:t>
      </w:r>
      <w:r>
        <w:br/>
      </w:r>
      <w:r>
        <w:br/>
      </w:r>
      <w:r>
        <w:t xml:space="preserve">В последний месяц периода, на который пособие было ранее назначено – в этом случае вы продолжите получать выплаты без перерыва по прежнему графику.</w:t>
      </w:r>
      <w:r>
        <w:br/>
      </w:r>
      <w:r>
        <w:br/>
      </w:r>
      <w:r>
        <w:t xml:space="preserve">В месяц, следующий за месяцем окончания выплат — график выплат также не прервется.</w:t>
      </w:r>
      <w:r>
        <w:br/>
      </w:r>
      <w:r>
        <w:t xml:space="preserve">Спустя несколько месяцев после окончания периода предыдущего назначения – выплаты поступят как при назначении пособия впервые. Первый платеж будет перечислен в течение 5 рабочих дней после назначения, а затем выплаты будут зачисляться по обычным правилам.</w:t>
      </w:r>
      <w:r>
        <w:br/>
      </w:r>
      <w:r>
        <w:br/>
      </w:r>
      <w:r>
        <w:t xml:space="preserve">Напоминаем:</w:t>
      </w:r>
      <w:r>
        <w:br/>
      </w:r>
      <w:r>
        <w:t xml:space="preserve">- единое пособие выплачивается в текущем месяце за предыдущий;</w:t>
      </w:r>
      <w:r>
        <w:br/>
      </w:r>
      <w:r>
        <w:t xml:space="preserve">- на карту средства поступают 3-го числа;</w:t>
      </w:r>
      <w:r>
        <w:br/>
      </w:r>
      <w:r>
        <w:t xml:space="preserve">- по почте — до 25-го числа.</w:t>
      </w:r>
      <w:r>
        <w:br/>
      </w:r>
      <w:r>
        <w:br/>
      </w:r>
      <w:r>
        <w:t xml:space="preserve">Подать заявление можно на портале госуслуг, в клиентской службе Отделения СФР по Москве и Московской области или в МФЦ.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Как оплачивается больничный лист после увольнения?</w:t>
      </w:r>
    </w:p>
    <w:p>
      <w:pPr>
        <w:pStyle w:val="BodyText"/>
      </w:pPr>
      <w:r>
        <w:t xml:space="preserve">После увольнения гражданин может рассчитывать на выплаты по нетрудоспособности, если заболел не позднее 30 дней после увольнения.</w:t>
      </w:r>
      <w:r>
        <w:br/>
      </w:r>
      <w:r>
        <w:br/>
      </w:r>
      <w:r>
        <w:t xml:space="preserve">Бывший работодатель оплатит первые три дня больничного, последующие дни – Отделение СФР по Москве и Московской области.</w:t>
      </w:r>
      <w:r>
        <w:br/>
      </w:r>
      <w:r>
        <w:t xml:space="preserve">Листок нетрудоспособности оплачивается в размере 60% от среднего заработка независимо от продолжительности страхового стажа.</w:t>
      </w:r>
      <w:r>
        <w:br/>
      </w:r>
      <w:r>
        <w:t xml:space="preserve">Бывший работодатель оплачивает первые дни больничного, если в период заболевания или травмы гражданин не был трудоустроен в другой компании.</w:t>
      </w:r>
      <w:r>
        <w:br/>
      </w:r>
      <w:r>
        <w:br/>
      </w:r>
      <w:r>
        <w:t xml:space="preserve">Если он устроился на новую работу, то первые три дня больничного по общему правилу оплачивает нынешний работодатель.</w:t>
      </w:r>
      <w:r>
        <w:br/>
      </w:r>
      <w:r>
        <w:br/>
      </w:r>
      <w:r>
        <w:t xml:space="preserve">После увольнения не оплачивается больничный лист по уходу за ребенком или в связи с карантином.</w:t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Работаете как самозанятый и хотите обеспечить свою будущую пенсию?</w:t>
      </w:r>
    </w:p>
    <w:p>
      <w:pPr>
        <w:pStyle w:val="BodyText"/>
      </w:pPr>
      <w:r>
        <w:br/>
      </w:r>
      <w:r>
        <w:t xml:space="preserve">Вы можете накопить необходимый стаж и размер пенсии, уплачивая добровольные страховые взносы в Отделение СФР по Москве и Московской области.</w:t>
      </w:r>
      <w:r>
        <w:br/>
      </w:r>
      <w:r>
        <w:br/>
      </w:r>
      <w:r>
        <w:t xml:space="preserve">Как узнать, сколько заплатить?</w:t>
      </w:r>
      <w:r>
        <w:br/>
      </w:r>
      <w:r>
        <w:br/>
      </w:r>
      <w:r>
        <w:t xml:space="preserve">Электронный калькулятор индивидуального пенсионного коэффициента (ИПК) и стажа</w:t>
      </w:r>
      <w:r>
        <w:t xml:space="preserve"> </w:t>
      </w:r>
      <w:hyperlink r:id="rId20">
        <w:r>
          <w:rPr>
            <w:rStyle w:val="Hyperlink"/>
          </w:rPr>
          <w:t xml:space="preserve">https://es.pfrf.ru/ipkStazh</w:t>
        </w:r>
      </w:hyperlink>
      <w:r>
        <w:br/>
      </w:r>
      <w:r>
        <w:br/>
      </w:r>
      <w:r>
        <w:t xml:space="preserve">Чтобы правильно рассчитать сумму взноса, нужно указать требуемую величину ИПК и стажа, а также дату регистрации в качестве страхователя.</w:t>
      </w:r>
      <w:r>
        <w:br/>
      </w:r>
      <w:r>
        <w:t xml:space="preserve">Копить стаж и ИПК могут:</w:t>
      </w:r>
      <w:r>
        <w:br/>
      </w:r>
      <w:r>
        <w:t xml:space="preserve">• самозанятые;</w:t>
      </w:r>
      <w:r>
        <w:br/>
      </w:r>
      <w:r>
        <w:t xml:space="preserve">• граждане, которые работают за границей;</w:t>
      </w:r>
      <w:r>
        <w:br/>
      </w:r>
      <w:r>
        <w:t xml:space="preserve">• люди, которые заботятся о пенсии близких;</w:t>
      </w:r>
      <w:r>
        <w:br/>
      </w:r>
      <w:r>
        <w:t xml:space="preserve">• индивидуальные предприниматели;</w:t>
      </w:r>
      <w:r>
        <w:br/>
      </w:r>
      <w:r>
        <w:t xml:space="preserve">• адвокаты и нотариусы;</w:t>
      </w:r>
      <w:r>
        <w:br/>
      </w:r>
      <w:r>
        <w:t xml:space="preserve">• получатели пенсий по инвалидности или за выслугу лет;</w:t>
      </w:r>
      <w:r>
        <w:br/>
      </w:r>
      <w:r>
        <w:t xml:space="preserve">• граждане, у которых недостаточно страхового стажа или пенсионных коэффициентов.</w:t>
      </w:r>
      <w:r>
        <w:br/>
      </w:r>
      <w:r>
        <w:br/>
      </w:r>
      <w:r>
        <w:t xml:space="preserve">Чтобы начать формировать пенсию, необходимо подать заявление в личном кабинете на портале госуслуг или в клиентской службе Отделения СФР по Москве и Московской области.</w:t>
      </w:r>
      <w:r>
        <w:br/>
      </w: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http://otradnoe.mos.ru/presscenter/true/detail/12593040.html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Отрадное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otradnoe.mos.ru" TargetMode="External" /><Relationship Type="http://schemas.openxmlformats.org/officeDocument/2006/relationships/hyperlink" Id="rId21" Target="http://otradnoe.mos.ru/presscenter/true/detail/12593040.html" TargetMode="External" /><Relationship Type="http://schemas.openxmlformats.org/officeDocument/2006/relationships/hyperlink" Id="rId20" Target="https://es.pfrf.ru/ipkStazh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otradnoe.mos.ru" TargetMode="External" /><Relationship Type="http://schemas.openxmlformats.org/officeDocument/2006/relationships/hyperlink" Id="rId21" Target="http://otradnoe.mos.ru/presscenter/true/detail/12593040.html" TargetMode="External" /><Relationship Type="http://schemas.openxmlformats.org/officeDocument/2006/relationships/hyperlink" Id="rId20" Target="https://es.pfrf.ru/ipkStazh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2025-04-25T14:03:19Z</dcterms:created>
  <dcterms:modified xsi:type="dcterms:W3CDTF">2025-04-25T14:03:19Z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