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e5689f1e8b631f686ad8878eaa6b8398100514"/>
    <w:p>
      <w:pPr>
        <w:pStyle w:val="Heading3"/>
      </w:pPr>
      <w:r>
        <w:t xml:space="preserve">Совет депутатов МО Отрадное приглашает 4 августа на праздничные мероприятия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drawing>
          <wp:inline>
            <wp:extent cx="5334000" cy="7542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200.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28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tradnoe.mos.ru/www/200.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http://otradnoe.mos.ru/presscenter/true/detail/10149404.html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tradnoe.mos.ru" TargetMode="External" /><Relationship Type="http://schemas.openxmlformats.org/officeDocument/2006/relationships/hyperlink" Id="rId26" Target="http://otradnoe.mos.ru/presscenter/true/detail/10149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tradnoe.mos.ru" TargetMode="External" /><Relationship Type="http://schemas.openxmlformats.org/officeDocument/2006/relationships/hyperlink" Id="rId26" Target="http://otradnoe.mos.ru/presscenter/true/detail/10149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2025-02-08T03:54:20Z</dcterms:created>
  <dcterms:modified xsi:type="dcterms:W3CDTF">2025-02-08T03:54:20Z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