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289ae1d5126a8a2c0a01dfd570e7562abbe9f4"/>
    <w:p>
      <w:pPr>
        <w:pStyle w:val="Heading3"/>
      </w:pPr>
      <w:r>
        <w:t xml:space="preserve">Итоги конкурса «Лучший работодатель города Москвы» подведут осенью</w:t>
      </w:r>
    </w:p>
    <w:p>
      <w:pPr>
        <w:pStyle w:val="FirstParagraph"/>
      </w:pPr>
      <w:r>
        <w:t xml:space="preserve">10.06.2016</w:t>
      </w:r>
    </w:p>
    <w:p>
      <w:pPr>
        <w:pStyle w:val="BodyText"/>
      </w:pPr>
      <w:r>
        <w:drawing>
          <wp:inline>
            <wp:extent cx="5334000" cy="31637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directions-of-activity/culture-leisure-and-sport/Snimok-ekrana-2016-06-10-v-12.20.5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 труда и социальной защиты населения Москвы в рамках всероссийского конкурса «Российская организация высокой социальной эффективности» проводит конкурс «Лучший работодатель города Москвы».</w:t>
      </w:r>
    </w:p>
    <w:p>
      <w:pPr>
        <w:pStyle w:val="BodyText"/>
      </w:pPr>
      <w:r>
        <w:t xml:space="preserve">К участию допускаются организации всех отраслей и форм собственности. Цель подобных мероприятий — вовлечь городские организации в программы занятости населения, в том числе, связанные с организацией временных рабочих мест для учащейся молодежи. Немаловажным аспектом организаторы считают также развитие цивилизованных трудовых отношений и социальной ответственности бизнеса; предполагается, что все эти факторы можно усилить путем поощрения работодателей, вносящих наибольший вклад в развитие столичного рынка труда.</w:t>
      </w:r>
    </w:p>
    <w:p>
      <w:pPr>
        <w:pStyle w:val="BodyText"/>
      </w:pPr>
      <w:r>
        <w:t xml:space="preserve">Конкурс проводится по двум группам номинаций:</w:t>
      </w:r>
    </w:p>
    <w:p>
      <w:pPr>
        <w:pStyle w:val="BodyText"/>
      </w:pPr>
      <w:r>
        <w:t xml:space="preserve">— «Федеральные номинации»;</w:t>
      </w:r>
    </w:p>
    <w:p>
      <w:pPr>
        <w:pStyle w:val="BodyText"/>
      </w:pPr>
      <w:r>
        <w:t xml:space="preserve">— «Московские номинации».</w:t>
      </w:r>
    </w:p>
    <w:p>
      <w:pPr>
        <w:pStyle w:val="BodyText"/>
      </w:pPr>
      <w:r>
        <w:t xml:space="preserve">Итоги конкурса подведёт Оргкомитет с участием представителей органов исполнительной власти города Москвы, Московской Федерации профсоюзов и Московской Конфедерацией промышленников и предпринимателей.</w:t>
      </w:r>
    </w:p>
    <w:p>
      <w:pPr>
        <w:pStyle w:val="BodyText"/>
      </w:pPr>
      <w:r>
        <w:t xml:space="preserve">В 2016 году проведение торжественных церемоний награждения участников Конкурса запланировано по двум группам номинаций отдельно («Московские номинации» до – 15 сентября, «Федеральные номинации» — до 1 октября).</w:t>
      </w:r>
    </w:p>
    <w:p>
      <w:pPr>
        <w:pStyle w:val="BodyText"/>
      </w:pPr>
      <w:r>
        <w:t xml:space="preserve">Заявки на участие в конкурсе принимаются в 53 отделах трудоустройства Центра занятости населения Москвы в срок до 29 июля 2016 года.</w:t>
      </w:r>
    </w:p>
    <w:p>
      <w:pPr>
        <w:pStyle w:val="BodyText"/>
      </w:pPr>
      <w:r>
        <w:t xml:space="preserve">Информация об адресах отделов трудоустройства расположена в подразделе «Подведомственные организации» раздела «Департамент» официального портала Департамента</w:t>
      </w:r>
      <w:r>
        <w:t xml:space="preserve"> </w:t>
      </w:r>
      <w:hyperlink r:id="rId23">
        <w:r>
          <w:rPr>
            <w:rStyle w:val="Hyperlink"/>
          </w:rPr>
          <w:t xml:space="preserve">www.dszn.ru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С подробными условиями участия в Конкурсе также можно ознакомиться на официальном портале Департамента в разделе «Труд и занятость».</w:t>
      </w:r>
    </w:p>
    <w:p>
      <w:pPr>
        <w:pStyle w:val="BodyText"/>
      </w:pPr>
      <w:r>
        <w:rPr>
          <w:bCs/>
          <w:b/>
        </w:rPr>
        <w:t xml:space="preserve">Дополнительная информация по телефону: (495) 621-16-47.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http://otradnoe.mos.ru/presscenter/news/detail/3128969.html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news/detail/3128969.html" TargetMode="External" /><Relationship Type="http://schemas.openxmlformats.org/officeDocument/2006/relationships/hyperlink" Id="rId23" Target="http://www.dsz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news/detail/3128969.html" TargetMode="External" /><Relationship Type="http://schemas.openxmlformats.org/officeDocument/2006/relationships/hyperlink" Id="rId23" Target="http://www.dsz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2025-07-29T00:32:09Z</dcterms:created>
  <dcterms:modified xsi:type="dcterms:W3CDTF">2025-07-29T00:32:09Z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