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47b9619e9847295efefe98e046c108ea65b001"/>
    <w:p>
      <w:pPr>
        <w:pStyle w:val="Heading3"/>
      </w:pPr>
      <w:r>
        <w:t xml:space="preserve">Принято решение о дополнительном финансировании мероприятий по развитию районов Москвы</w:t>
      </w:r>
    </w:p>
    <w:p>
      <w:pPr>
        <w:pStyle w:val="FirstParagraph"/>
      </w:pPr>
      <w:r>
        <w:t xml:space="preserve">20.03.2015</w:t>
      </w:r>
    </w:p>
    <w:p>
      <w:pPr>
        <w:pStyle w:val="BodyText"/>
      </w:pPr>
      <w:r>
        <w:t xml:space="preserve">Мэр МосквыСергей Собянин провёл совещание по оперативным вопросам, на котором были рассмотрены доклады о дополнительном финансировании мероприятий по развитию районов Москвы.</w:t>
      </w:r>
    </w:p>
    <w:p>
      <w:pPr>
        <w:pStyle w:val="BodyText"/>
      </w:pPr>
      <w:r>
        <w:t xml:space="preserve">По информации</w:t>
      </w:r>
      <w:r>
        <w:t xml:space="preserve"> </w:t>
      </w:r>
      <w:hyperlink r:id="rId20">
        <w:r>
          <w:rPr>
            <w:rStyle w:val="Hyperlink"/>
          </w:rPr>
          <w:t xml:space="preserve">Департамента экономической политики и развития</w:t>
        </w:r>
      </w:hyperlink>
      <w:r>
        <w:t xml:space="preserve"> </w:t>
      </w:r>
      <w:r>
        <w:t xml:space="preserve">города Москвы</w:t>
      </w:r>
      <w:r>
        <w:rPr>
          <w:u w:val="single"/>
        </w:rPr>
        <w:t xml:space="preserve">,</w:t>
      </w:r>
      <w:r>
        <w:t xml:space="preserve"> </w:t>
      </w:r>
      <w:r>
        <w:t xml:space="preserve">в марте — апреле 2015 года управам 125 районов будет дополнительно выделено 593 миллиона рублей на благоустройство территории, ремонт многоквартирных домов и иные мероприятия. На указанные виды работ на территорию района Отрадное будет выделено 11 миллионов рублей.</w:t>
      </w:r>
    </w:p>
    <w:p>
      <w:pPr>
        <w:pStyle w:val="BodyText"/>
      </w:pPr>
      <w:r>
        <w:t xml:space="preserve">Указанные средства выделяются за счёт следующих видов доходов, поступивших во втором полугодии 2014 года:</w:t>
      </w:r>
    </w:p>
    <w:p>
      <w:pPr>
        <w:pStyle w:val="BodyText"/>
      </w:pPr>
      <w:r>
        <w:t xml:space="preserve">— от денежных взысканий (штрафов) за неисполнение или ненадлежащее исполнение поставщиком условий государст</w:t>
      </w:r>
      <w:r>
        <w:softHyphen/>
      </w:r>
      <w:r>
        <w:t xml:space="preserve">венных контрактов;</w:t>
      </w:r>
    </w:p>
    <w:p>
      <w:pPr>
        <w:pStyle w:val="BodyText"/>
      </w:pPr>
      <w:r>
        <w:t xml:space="preserve">— от поступлений налога на доходы физических лиц от сдачи жилых помещений в аренду;</w:t>
      </w:r>
    </w:p>
    <w:p>
      <w:pPr>
        <w:pStyle w:val="BodyText"/>
      </w:pPr>
      <w:r>
        <w:t xml:space="preserve">— от поступлений от продажи патентов индивидуальным предпринимателям;</w:t>
      </w:r>
    </w:p>
    <w:p>
      <w:pPr>
        <w:pStyle w:val="BodyText"/>
      </w:pPr>
      <w:r>
        <w:t xml:space="preserve">Решения об использовании перечисленных средств на конкретные мероприятия по развитию принимаются районными советами депутатов по представлению глав управ районов.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http://otradnoe.mos.ru/presscenter/news/detail/1673848.html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epr.mos.ru/" TargetMode="External" /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presscenter/news/detail/16738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epr.mos.ru/" TargetMode="External" /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presscenter/news/detail/16738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2025-07-28T23:42:07Z</dcterms:created>
  <dcterms:modified xsi:type="dcterms:W3CDTF">2025-07-28T23:42:07Z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