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bdd489a30f292b089415c4d1ee0b42793c72e"/>
    <w:p>
      <w:pPr>
        <w:pStyle w:val="Heading3"/>
      </w:pPr>
      <w:r>
        <w:t xml:space="preserve">Распоряжение "О внесении изменений в распоряжение управы от 29 июня 2016 г. № 03-03-44/6 и признании утратившим силу распоряжение управы от 18 октября 2022 г. № 03-03-114/2"</w:t>
      </w:r>
    </w:p>
    <w:p>
      <w:pPr>
        <w:pStyle w:val="FirstParagraph"/>
      </w:pPr>
      <w:r>
        <w:t xml:space="preserve">28.07.2023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http://otradnoe.mos.ru/anti-corruption/the-commission-for-observance-of-requirements-for-the-official-behaviour-of-state-civil-employees-of/detail/11742011.html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the-commission-for-observance-of-requirements-for-the-official-behaviour-of-state-civil-employees-of/detail/117420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the-commission-for-observance-of-requirements-for-the-official-behaviour-of-state-civil-employees-of/detail/117420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2025-01-31T01:20:13Z</dcterms:created>
  <dcterms:modified xsi:type="dcterms:W3CDTF">2025-01-31T01:20:13Z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