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dfd301e5e5cd31b944c62a7024322c108326b"/>
    <w:p>
      <w:pPr>
        <w:pStyle w:val="Heading3"/>
      </w:pPr>
      <w:r>
        <w:t xml:space="preserve">Распоряжение управы района Отрадное города Москвы от 18.10.2022 № 03-03-114/2 "О внесении изменений в распоряжение управы района Отрадное г. Москвы от 29.06.2016 № 03-03-44/6 и признании утратившим силу распоряжения управы от 04.10.2021 № 03-03-150/1"</w:t>
      </w:r>
    </w:p>
    <w:p>
      <w:pPr>
        <w:pStyle w:val="FirstParagraph"/>
      </w:pPr>
      <w:r>
        <w:t xml:space="preserve">31.10.2022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http://otradnoe.mos.ru/anti-corruption/the-commission-for-observance-of-requirements-for-the-official-behaviour-of-state-civil-employees-of/detail/11170535.html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the-commission-for-observance-of-requirements-for-the-official-behaviour-of-state-civil-employees-of/detail/1117053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anti-corruption/the-commission-for-observance-of-requirements-for-the-official-behaviour-of-state-civil-employees-of/detail/1117053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2025-07-16T04:28:03Z</dcterms:created>
  <dcterms:modified xsi:type="dcterms:W3CDTF">2025-07-16T04:28:03Z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