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17ce2b84b4ba1d57f806ccea07d9e8bf4815a"/>
    <w:p>
      <w:pPr>
        <w:pStyle w:val="Heading3"/>
      </w:pPr>
      <w:r>
        <w:t xml:space="preserve">Методические материалы по вопросам противодействия коррупции</w:t>
      </w:r>
    </w:p>
    <w:p>
      <w:pPr>
        <w:pStyle w:val="FirstParagraph"/>
      </w:pPr>
      <w:r>
        <w:t xml:space="preserve">14.07.2014</w:t>
      </w:r>
    </w:p>
    <w:p>
      <w:pPr>
        <w:pStyle w:val="BodyText"/>
      </w:pPr>
      <w:r>
        <w:t xml:space="preserve">Методические материалы по вопросам противодействия коррупции, самостоятельно разработанные государственным органом, Банком России, фондом, корпорацией, организацией, так и гиперссылка для последовательного перехода к методическим материалам, одобренным президиумом Совета при Президенте Российской Федерации по противодействию коррупции, методическим рекомендациям, обзорам, разъяснениям и иным документам, подготовленным Минтрудом России и размещенным на его официальном сайте: www.rosmintrud.ru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http://otradnoe.mos.ru/anti-corruption/methodical-materials/detail/1122306.html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methodical-materials/detail/11223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methodical-materials/detail/11223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2025-07-28T16:28:27Z</dcterms:created>
  <dcterms:modified xsi:type="dcterms:W3CDTF">2025-07-28T16:28:27Z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